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73" w:rsidRDefault="00D96073" w:rsidP="004F269D">
      <w:pPr>
        <w:pStyle w:val="Default"/>
        <w:rPr>
          <w:b/>
          <w:bCs/>
          <w:sz w:val="23"/>
          <w:szCs w:val="23"/>
        </w:rPr>
      </w:pPr>
    </w:p>
    <w:p w:rsidR="0083222A" w:rsidRPr="000D508C" w:rsidRDefault="0083222A" w:rsidP="0083222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jc w:val="center"/>
        <w:rPr>
          <w:rFonts w:ascii="Times New Roman" w:eastAsia="Times New Roman" w:hAnsi="Times New Roman" w:cs="Times New Roman"/>
          <w:b/>
          <w:spacing w:val="-2"/>
          <w:sz w:val="24"/>
          <w:szCs w:val="24"/>
        </w:rPr>
      </w:pPr>
      <w:r w:rsidRPr="000D508C">
        <w:rPr>
          <w:rFonts w:ascii="Times New Roman" w:eastAsia="Times New Roman" w:hAnsi="Times New Roman" w:cs="Times New Roman"/>
          <w:b/>
          <w:spacing w:val="-2"/>
          <w:sz w:val="24"/>
          <w:szCs w:val="24"/>
        </w:rPr>
        <w:t>WASHINGTON SMALL LOAN ENDORSEMENT</w:t>
      </w:r>
    </w:p>
    <w:p w:rsidR="0083222A" w:rsidRDefault="0083222A" w:rsidP="0083222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jc w:val="center"/>
        <w:rPr>
          <w:rFonts w:ascii="Times New Roman" w:eastAsia="Times New Roman" w:hAnsi="Times New Roman" w:cs="Times New Roman"/>
          <w:b/>
          <w:spacing w:val="-2"/>
          <w:sz w:val="24"/>
          <w:szCs w:val="24"/>
        </w:rPr>
      </w:pPr>
      <w:r w:rsidRPr="000D508C">
        <w:rPr>
          <w:rFonts w:ascii="Times New Roman" w:eastAsia="Times New Roman" w:hAnsi="Times New Roman" w:cs="Times New Roman"/>
          <w:b/>
          <w:spacing w:val="-2"/>
          <w:sz w:val="24"/>
          <w:szCs w:val="24"/>
        </w:rPr>
        <w:t>BOND FORM</w:t>
      </w:r>
    </w:p>
    <w:p w:rsidR="0083222A" w:rsidRPr="000D508C" w:rsidRDefault="0083222A" w:rsidP="0083222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jc w:val="center"/>
        <w:rPr>
          <w:rFonts w:ascii="Times New Roman" w:eastAsia="Times New Roman" w:hAnsi="Times New Roman" w:cs="Times New Roman"/>
          <w:b/>
          <w:spacing w:val="-2"/>
          <w:sz w:val="24"/>
          <w:szCs w:val="24"/>
        </w:rPr>
      </w:pPr>
    </w:p>
    <w:p w:rsidR="0083222A" w:rsidRPr="004B682F" w:rsidRDefault="0083222A" w:rsidP="0083222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8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rPr>
          <w:rFonts w:ascii="Times New Roman" w:eastAsia="Times New Roman" w:hAnsi="Times New Roman" w:cs="Times New Roman"/>
          <w:b/>
          <w:bCs/>
          <w:spacing w:val="-2"/>
        </w:rPr>
      </w:pPr>
      <w:r w:rsidRPr="004B682F">
        <w:rPr>
          <w:rFonts w:ascii="Times New Roman" w:eastAsia="Times New Roman" w:hAnsi="Times New Roman" w:cs="Times New Roman"/>
          <w:b/>
          <w:bCs/>
          <w:spacing w:val="-2"/>
        </w:rPr>
        <w:t xml:space="preserve">Bond No. </w:t>
      </w:r>
      <w:r w:rsidRPr="004B682F">
        <w:rPr>
          <w:rFonts w:ascii="Times New Roman" w:eastAsia="Arial" w:hAnsi="Times New Roman" w:cs="Times New Roman"/>
          <w:color w:val="FF0000"/>
          <w:u w:val="single"/>
        </w:rPr>
        <w:t>[</w:t>
      </w:r>
      <w:r w:rsidRPr="004B682F">
        <w:rPr>
          <w:rFonts w:ascii="Times New Roman" w:eastAsia="Arial" w:hAnsi="Times New Roman" w:cs="Times New Roman"/>
          <w:b/>
          <w:bCs/>
          <w:color w:val="FF0000"/>
          <w:u w:val="single"/>
        </w:rPr>
        <w:t>Bond Number</w:t>
      </w:r>
      <w:r w:rsidRPr="004B682F">
        <w:rPr>
          <w:rFonts w:ascii="Times New Roman" w:eastAsia="Arial" w:hAnsi="Times New Roman" w:cs="Times New Roman"/>
          <w:color w:val="FF0000"/>
          <w:u w:val="single"/>
        </w:rPr>
        <w:t>]</w:t>
      </w:r>
    </w:p>
    <w:p w:rsidR="0083222A" w:rsidRPr="004B682F" w:rsidRDefault="0083222A" w:rsidP="0083222A">
      <w:pPr>
        <w:tabs>
          <w:tab w:val="right" w:pos="9360"/>
        </w:tabs>
        <w:spacing w:after="0" w:line="224" w:lineRule="auto"/>
        <w:rPr>
          <w:rFonts w:ascii="Times New Roman" w:eastAsia="Arial" w:hAnsi="Times New Roman" w:cs="Times New Roman"/>
        </w:rPr>
      </w:pPr>
      <w:r w:rsidRPr="004B682F">
        <w:rPr>
          <w:rFonts w:ascii="Times New Roman" w:eastAsia="Arial" w:hAnsi="Times New Roman" w:cs="Times New Roman"/>
          <w:b/>
        </w:rPr>
        <w:t>Bond Amount:</w:t>
      </w:r>
      <w:r w:rsidRPr="004B682F">
        <w:rPr>
          <w:rFonts w:ascii="Times New Roman" w:eastAsia="Arial" w:hAnsi="Times New Roman" w:cs="Times New Roman"/>
        </w:rPr>
        <w:t xml:space="preserve"> $</w:t>
      </w:r>
      <w:r w:rsidRPr="004B682F">
        <w:rPr>
          <w:rFonts w:ascii="Times New Roman" w:eastAsia="Arial" w:hAnsi="Times New Roman" w:cs="Times New Roman"/>
          <w:color w:val="FF0000"/>
          <w:u w:val="single"/>
        </w:rPr>
        <w:t>[</w:t>
      </w:r>
      <w:r w:rsidRPr="004B682F">
        <w:rPr>
          <w:rFonts w:ascii="Times New Roman" w:eastAsia="Arial" w:hAnsi="Times New Roman" w:cs="Times New Roman"/>
          <w:b/>
          <w:bCs/>
          <w:color w:val="FF0000"/>
          <w:u w:val="single"/>
        </w:rPr>
        <w:t>Bond Amount</w:t>
      </w:r>
      <w:r w:rsidRPr="004B682F">
        <w:rPr>
          <w:rFonts w:ascii="Times New Roman" w:eastAsia="Arial" w:hAnsi="Times New Roman" w:cs="Times New Roman"/>
          <w:color w:val="FF0000"/>
          <w:u w:val="single"/>
        </w:rPr>
        <w:t>]</w:t>
      </w:r>
    </w:p>
    <w:p w:rsidR="0083222A" w:rsidRPr="004B682F" w:rsidRDefault="0083222A" w:rsidP="0083222A">
      <w:pPr>
        <w:tabs>
          <w:tab w:val="right" w:pos="9360"/>
        </w:tabs>
        <w:spacing w:after="0" w:line="224" w:lineRule="auto"/>
        <w:rPr>
          <w:rFonts w:ascii="Times New Roman" w:eastAsia="Arial" w:hAnsi="Times New Roman" w:cs="Times New Roman"/>
        </w:rPr>
      </w:pPr>
      <w:r w:rsidRPr="004B682F">
        <w:rPr>
          <w:rFonts w:ascii="Times New Roman" w:eastAsia="Arial" w:hAnsi="Times New Roman" w:cs="Times New Roman"/>
          <w:b/>
        </w:rPr>
        <w:t>Effective Date:</w:t>
      </w:r>
      <w:r w:rsidRPr="004B682F">
        <w:rPr>
          <w:rFonts w:ascii="Times New Roman" w:eastAsia="Arial" w:hAnsi="Times New Roman" w:cs="Times New Roman"/>
        </w:rPr>
        <w:t xml:space="preserve"> </w:t>
      </w:r>
      <w:r w:rsidRPr="004B682F">
        <w:rPr>
          <w:rFonts w:ascii="Times New Roman" w:eastAsia="Arial" w:hAnsi="Times New Roman" w:cs="Times New Roman"/>
          <w:color w:val="FF0000"/>
          <w:u w:val="single"/>
        </w:rPr>
        <w:t>[</w:t>
      </w:r>
      <w:r w:rsidRPr="004B682F">
        <w:rPr>
          <w:rFonts w:ascii="Times New Roman" w:eastAsia="Arial" w:hAnsi="Times New Roman" w:cs="Times New Roman"/>
          <w:b/>
          <w:bCs/>
          <w:color w:val="FF0000"/>
          <w:u w:val="single"/>
        </w:rPr>
        <w:t>Bond Effective Date</w:t>
      </w:r>
      <w:r w:rsidRPr="004B682F">
        <w:rPr>
          <w:rFonts w:ascii="Times New Roman" w:eastAsia="Arial" w:hAnsi="Times New Roman" w:cs="Times New Roman"/>
          <w:color w:val="FF0000"/>
          <w:u w:val="single"/>
        </w:rPr>
        <w:t>]</w:t>
      </w:r>
    </w:p>
    <w:p w:rsidR="00D96073" w:rsidRDefault="00D96073" w:rsidP="00D96073">
      <w:pPr>
        <w:pStyle w:val="Default"/>
        <w:jc w:val="center"/>
        <w:rPr>
          <w:sz w:val="23"/>
          <w:szCs w:val="23"/>
        </w:rPr>
      </w:pPr>
    </w:p>
    <w:p w:rsidR="00D96073" w:rsidRDefault="00D96073" w:rsidP="00D96073">
      <w:pPr>
        <w:pStyle w:val="Default"/>
        <w:rPr>
          <w:sz w:val="22"/>
          <w:szCs w:val="22"/>
        </w:rPr>
      </w:pPr>
      <w:r>
        <w:rPr>
          <w:b/>
          <w:bCs/>
          <w:i/>
          <w:iCs/>
          <w:sz w:val="22"/>
          <w:szCs w:val="22"/>
        </w:rPr>
        <w:t xml:space="preserve">KNOW ALL PERSONS BY THESE PRESENTS, </w:t>
      </w:r>
    </w:p>
    <w:p w:rsidR="00D96073" w:rsidRDefault="00D96073" w:rsidP="00D96073">
      <w:pPr>
        <w:pStyle w:val="Default"/>
        <w:rPr>
          <w:sz w:val="22"/>
          <w:szCs w:val="22"/>
        </w:rPr>
      </w:pPr>
      <w:r>
        <w:rPr>
          <w:sz w:val="22"/>
          <w:szCs w:val="22"/>
        </w:rPr>
        <w:t>That with NMLS Unique Identifier of</w:t>
      </w:r>
      <w:r w:rsidR="0083222A">
        <w:rPr>
          <w:sz w:val="22"/>
          <w:szCs w:val="22"/>
        </w:rPr>
        <w:t xml:space="preserve"> </w:t>
      </w:r>
      <w:r w:rsidR="0083222A" w:rsidRPr="000D508C">
        <w:rPr>
          <w:rFonts w:eastAsia="Arial"/>
          <w:b/>
          <w:color w:val="FF0000"/>
          <w:sz w:val="22"/>
          <w:szCs w:val="22"/>
          <w:u w:val="single"/>
        </w:rPr>
        <w:t>[Licensee/Principal NMLS ID</w:t>
      </w:r>
      <w:r w:rsidR="0083222A" w:rsidRPr="000D508C">
        <w:rPr>
          <w:rFonts w:eastAsia="Times New Roman"/>
          <w:b/>
          <w:color w:val="FF0000"/>
          <w:spacing w:val="-2"/>
          <w:sz w:val="22"/>
          <w:szCs w:val="22"/>
        </w:rPr>
        <w:t>]</w:t>
      </w:r>
      <w:r>
        <w:rPr>
          <w:sz w:val="22"/>
          <w:szCs w:val="22"/>
        </w:rPr>
        <w:t xml:space="preserve">, as obligor, </w:t>
      </w:r>
      <w:r w:rsidR="0083222A" w:rsidRPr="004F269D">
        <w:rPr>
          <w:rFonts w:eastAsia="Times New Roman"/>
          <w:spacing w:val="-2"/>
          <w:sz w:val="22"/>
          <w:szCs w:val="22"/>
        </w:rPr>
        <w:t>and</w:t>
      </w:r>
      <w:r w:rsidR="0083222A" w:rsidRPr="000D508C">
        <w:rPr>
          <w:b/>
          <w:sz w:val="22"/>
          <w:szCs w:val="22"/>
        </w:rPr>
        <w:t xml:space="preserve"> </w:t>
      </w:r>
      <w:r w:rsidR="0083222A" w:rsidRPr="000D508C">
        <w:rPr>
          <w:rFonts w:eastAsia="Times New Roman"/>
          <w:b/>
          <w:color w:val="FF0000"/>
          <w:spacing w:val="-2"/>
          <w:sz w:val="22"/>
          <w:szCs w:val="22"/>
          <w:u w:val="single"/>
        </w:rPr>
        <w:t>[</w:t>
      </w:r>
      <w:r w:rsidR="0083222A" w:rsidRPr="000D508C">
        <w:rPr>
          <w:rFonts w:eastAsia="Arial"/>
          <w:b/>
          <w:color w:val="FF0000"/>
          <w:sz w:val="22"/>
          <w:szCs w:val="22"/>
          <w:u w:val="single"/>
        </w:rPr>
        <w:t>Surety Name], NAIC # [Surety NAIC</w:t>
      </w:r>
      <w:r w:rsidR="0083222A" w:rsidRPr="000D508C">
        <w:rPr>
          <w:rFonts w:eastAsia="Arial"/>
          <w:b/>
          <w:color w:val="FF0000"/>
          <w:sz w:val="22"/>
          <w:szCs w:val="22"/>
        </w:rPr>
        <w:t>]</w:t>
      </w:r>
      <w:r>
        <w:rPr>
          <w:sz w:val="22"/>
          <w:szCs w:val="22"/>
        </w:rPr>
        <w:t>, a corporation authorized to transact surety business in the State of Washington,</w:t>
      </w:r>
      <w:r w:rsidR="0083222A">
        <w:rPr>
          <w:sz w:val="22"/>
          <w:szCs w:val="22"/>
        </w:rPr>
        <w:t xml:space="preserve"> </w:t>
      </w:r>
      <w:r>
        <w:rPr>
          <w:sz w:val="22"/>
          <w:szCs w:val="22"/>
        </w:rPr>
        <w:t xml:space="preserve">as surety, are held and firmly bound unto the State of Washington in the full penal sum of </w:t>
      </w:r>
      <w:r w:rsidR="0083222A" w:rsidRPr="000D508C">
        <w:rPr>
          <w:rFonts w:eastAsia="Arial"/>
          <w:color w:val="FF0000"/>
          <w:sz w:val="22"/>
          <w:szCs w:val="22"/>
          <w:u w:val="single"/>
        </w:rPr>
        <w:t>[</w:t>
      </w:r>
      <w:r w:rsidR="0083222A">
        <w:rPr>
          <w:rFonts w:eastAsia="Arial"/>
          <w:b/>
          <w:bCs/>
          <w:color w:val="FF0000"/>
          <w:sz w:val="22"/>
          <w:szCs w:val="22"/>
          <w:u w:val="single"/>
        </w:rPr>
        <w:t xml:space="preserve">Bond </w:t>
      </w:r>
      <w:r w:rsidR="0083222A" w:rsidRPr="000D508C">
        <w:rPr>
          <w:rFonts w:eastAsia="Arial"/>
          <w:b/>
          <w:bCs/>
          <w:color w:val="FF0000"/>
          <w:sz w:val="22"/>
          <w:szCs w:val="22"/>
          <w:u w:val="single"/>
        </w:rPr>
        <w:t>Amount</w:t>
      </w:r>
      <w:r w:rsidR="0083222A" w:rsidRPr="000D508C">
        <w:rPr>
          <w:rFonts w:eastAsia="Arial"/>
          <w:color w:val="FF0000"/>
          <w:sz w:val="22"/>
          <w:szCs w:val="22"/>
          <w:u w:val="single"/>
        </w:rPr>
        <w:t>]</w:t>
      </w:r>
      <w:r w:rsidR="0083222A" w:rsidRPr="000D508C">
        <w:rPr>
          <w:rFonts w:eastAsia="Times New Roman"/>
          <w:spacing w:val="-2"/>
          <w:sz w:val="22"/>
          <w:szCs w:val="22"/>
        </w:rPr>
        <w:t xml:space="preserve"> </w:t>
      </w:r>
      <w:r>
        <w:rPr>
          <w:sz w:val="22"/>
          <w:szCs w:val="22"/>
        </w:rPr>
        <w:t xml:space="preserve">lawful money of the United States, for the payment of which, well and truly to be made, we bind ourselves, our heirs, executors, administrators, successors and assigns, jointly and severally firmly by these presents. </w:t>
      </w:r>
    </w:p>
    <w:p w:rsidR="00D96073" w:rsidRDefault="00D96073" w:rsidP="00D96073">
      <w:pPr>
        <w:pStyle w:val="Default"/>
        <w:rPr>
          <w:sz w:val="22"/>
          <w:szCs w:val="22"/>
        </w:rPr>
      </w:pPr>
    </w:p>
    <w:p w:rsidR="00D96073" w:rsidRDefault="00D96073" w:rsidP="00D96073">
      <w:pPr>
        <w:pStyle w:val="Default"/>
        <w:rPr>
          <w:sz w:val="22"/>
          <w:szCs w:val="22"/>
        </w:rPr>
      </w:pPr>
      <w:r>
        <w:rPr>
          <w:b/>
          <w:bCs/>
          <w:i/>
          <w:iCs/>
          <w:sz w:val="22"/>
          <w:szCs w:val="22"/>
        </w:rPr>
        <w:t xml:space="preserve">THE CONDITIONS </w:t>
      </w:r>
      <w:r>
        <w:rPr>
          <w:sz w:val="22"/>
          <w:szCs w:val="22"/>
        </w:rPr>
        <w:t>of the above obligation are: Whereas, the above bounden obligor has applied for a license to transact the business of making small loans as provided by law under Chapter 31.45 Revised Code of Washington, known as the “</w:t>
      </w:r>
      <w:r>
        <w:rPr>
          <w:sz w:val="18"/>
          <w:szCs w:val="18"/>
        </w:rPr>
        <w:t>CHECK CASHERS AND SELLERS ACT</w:t>
      </w:r>
      <w:r>
        <w:rPr>
          <w:sz w:val="22"/>
          <w:szCs w:val="22"/>
        </w:rPr>
        <w:t xml:space="preserve">” of the State of Washington (Act), acts amendatory thereto, and rules adopted thereunder. </w:t>
      </w:r>
    </w:p>
    <w:p w:rsidR="00D96073" w:rsidRDefault="00D96073" w:rsidP="00D96073">
      <w:pPr>
        <w:pStyle w:val="Default"/>
        <w:rPr>
          <w:sz w:val="22"/>
          <w:szCs w:val="22"/>
        </w:rPr>
      </w:pPr>
    </w:p>
    <w:p w:rsidR="00D96073" w:rsidRDefault="00D96073" w:rsidP="00D96073">
      <w:pPr>
        <w:pStyle w:val="Default"/>
        <w:rPr>
          <w:sz w:val="22"/>
          <w:szCs w:val="22"/>
        </w:rPr>
      </w:pPr>
      <w:r>
        <w:rPr>
          <w:b/>
          <w:bCs/>
          <w:i/>
          <w:iCs/>
          <w:sz w:val="22"/>
          <w:szCs w:val="22"/>
        </w:rPr>
        <w:t xml:space="preserve">Now, Therefore, </w:t>
      </w:r>
      <w:r>
        <w:rPr>
          <w:sz w:val="22"/>
          <w:szCs w:val="22"/>
        </w:rPr>
        <w:t xml:space="preserve">if the said above bounden obligor, its owners, officers, employees, or independent contractors shall, upon the issuance of said license as aforesaid, faithfully conform to and abide by each and every provision of said Act and all rules and regulations lawfully made by the Director of the Department of Financial Institutions of the State of Washington thereunder, and if the said above bounded obligor will pay to the state and to any person or persons all amounts due and owing under and by virtue of the provisions of said Act, then this obligation to be void; otherwise the obligation of the above bounden surety to pay said amounts due and owing by the obligor under and by virtue of the provisions of said Act shall remain in full force and effect. </w:t>
      </w:r>
    </w:p>
    <w:p w:rsidR="00D96073" w:rsidRDefault="00D96073" w:rsidP="00D96073">
      <w:pPr>
        <w:pStyle w:val="Default"/>
        <w:rPr>
          <w:sz w:val="22"/>
          <w:szCs w:val="22"/>
        </w:rPr>
      </w:pPr>
    </w:p>
    <w:p w:rsidR="00D96073" w:rsidRDefault="00D96073" w:rsidP="00D96073">
      <w:pPr>
        <w:pStyle w:val="Default"/>
        <w:rPr>
          <w:sz w:val="22"/>
          <w:szCs w:val="22"/>
        </w:rPr>
      </w:pPr>
      <w:r>
        <w:rPr>
          <w:b/>
          <w:bCs/>
          <w:i/>
          <w:iCs/>
          <w:sz w:val="22"/>
          <w:szCs w:val="22"/>
        </w:rPr>
        <w:t>Provided</w:t>
      </w:r>
      <w:r>
        <w:rPr>
          <w:i/>
          <w:iCs/>
          <w:sz w:val="22"/>
          <w:szCs w:val="22"/>
        </w:rPr>
        <w:t xml:space="preserve">, </w:t>
      </w:r>
      <w:r>
        <w:rPr>
          <w:sz w:val="22"/>
          <w:szCs w:val="22"/>
        </w:rPr>
        <w:t xml:space="preserve">That the total liability hereunder arising during the period for which this bond is written shall not exceed the total sum of </w:t>
      </w:r>
      <w:r w:rsidR="0083222A" w:rsidRPr="000D508C">
        <w:rPr>
          <w:rFonts w:eastAsia="Arial"/>
          <w:color w:val="FF0000"/>
          <w:sz w:val="22"/>
          <w:szCs w:val="22"/>
          <w:u w:val="single"/>
        </w:rPr>
        <w:t>[</w:t>
      </w:r>
      <w:r w:rsidR="0083222A" w:rsidRPr="000D508C">
        <w:rPr>
          <w:rFonts w:eastAsia="Arial"/>
          <w:b/>
          <w:bCs/>
          <w:color w:val="FF0000"/>
          <w:sz w:val="22"/>
          <w:szCs w:val="22"/>
          <w:u w:val="single"/>
        </w:rPr>
        <w:t>Bond Amount</w:t>
      </w:r>
      <w:r w:rsidR="0083222A" w:rsidRPr="000D508C">
        <w:rPr>
          <w:rFonts w:eastAsia="Arial"/>
          <w:color w:val="FF0000"/>
          <w:sz w:val="22"/>
          <w:szCs w:val="22"/>
          <w:u w:val="single"/>
        </w:rPr>
        <w:t>]</w:t>
      </w:r>
      <w:r w:rsidR="0083222A" w:rsidRPr="000D508C">
        <w:rPr>
          <w:rFonts w:eastAsia="Arial"/>
          <w:color w:val="000000" w:themeColor="text1"/>
          <w:sz w:val="22"/>
          <w:szCs w:val="22"/>
        </w:rPr>
        <w:t>.</w:t>
      </w:r>
      <w:r w:rsidR="0083222A" w:rsidRPr="000D508C">
        <w:rPr>
          <w:rFonts w:eastAsia="Times New Roman"/>
          <w:color w:val="auto"/>
          <w:spacing w:val="-2"/>
          <w:sz w:val="22"/>
          <w:szCs w:val="22"/>
        </w:rPr>
        <w:t xml:space="preserve"> </w:t>
      </w:r>
      <w:r>
        <w:rPr>
          <w:sz w:val="22"/>
          <w:szCs w:val="22"/>
        </w:rPr>
        <w:t xml:space="preserve">This bond is effective until canceled by the surety. This bond may be canceled by giving notice to the Director through NMLS. The cancellation shall be effective 30 days from the receipt of said notice. If the bond is renewed, continued, reinstated, reissued or otherwise extended, it shall nevertheless be considered a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for any or all claims. </w:t>
      </w:r>
    </w:p>
    <w:p w:rsidR="00D96073" w:rsidRDefault="00D96073" w:rsidP="00D96073">
      <w:pPr>
        <w:pStyle w:val="Default"/>
        <w:rPr>
          <w:sz w:val="22"/>
          <w:szCs w:val="22"/>
        </w:rPr>
      </w:pPr>
    </w:p>
    <w:p w:rsidR="00D96073" w:rsidRDefault="00D96073" w:rsidP="00D96073">
      <w:pPr>
        <w:pStyle w:val="Default"/>
        <w:rPr>
          <w:sz w:val="22"/>
          <w:szCs w:val="22"/>
        </w:rPr>
      </w:pPr>
      <w:r>
        <w:rPr>
          <w:i/>
          <w:iCs/>
          <w:sz w:val="22"/>
          <w:szCs w:val="22"/>
        </w:rPr>
        <w:t xml:space="preserve">In </w:t>
      </w:r>
      <w:r w:rsidR="0083222A">
        <w:rPr>
          <w:i/>
          <w:iCs/>
          <w:sz w:val="22"/>
          <w:szCs w:val="22"/>
        </w:rPr>
        <w:t>Witness,</w:t>
      </w:r>
      <w:r>
        <w:rPr>
          <w:i/>
          <w:iCs/>
          <w:sz w:val="22"/>
          <w:szCs w:val="22"/>
        </w:rPr>
        <w:t xml:space="preserve"> Whereof, </w:t>
      </w:r>
      <w:r w:rsidR="0083222A">
        <w:rPr>
          <w:sz w:val="22"/>
          <w:szCs w:val="22"/>
        </w:rPr>
        <w:t>the</w:t>
      </w:r>
      <w:r>
        <w:rPr>
          <w:sz w:val="22"/>
          <w:szCs w:val="22"/>
        </w:rPr>
        <w:t xml:space="preserve"> said obligor has hereunto set its electronic signature and the said surety has caused these presents to be electronically signed by its duly authorized officers on </w:t>
      </w:r>
      <w:r w:rsidR="0083222A" w:rsidRPr="000D508C">
        <w:rPr>
          <w:rFonts w:eastAsia="Times New Roman"/>
          <w:spacing w:val="-2"/>
          <w:sz w:val="22"/>
          <w:szCs w:val="22"/>
        </w:rPr>
        <w:t>this</w:t>
      </w:r>
      <w:r w:rsidR="0083222A" w:rsidRPr="000D508C">
        <w:rPr>
          <w:rFonts w:eastAsia="Times New Roman"/>
          <w:color w:val="auto"/>
          <w:spacing w:val="-2"/>
          <w:sz w:val="22"/>
          <w:szCs w:val="22"/>
        </w:rPr>
        <w:t xml:space="preserve"> </w:t>
      </w:r>
      <w:r w:rsidR="0083222A" w:rsidRPr="000D508C">
        <w:rPr>
          <w:rFonts w:eastAsia="Arial"/>
          <w:b/>
          <w:bCs/>
          <w:color w:val="FF0000"/>
          <w:sz w:val="22"/>
          <w:szCs w:val="22"/>
          <w:u w:val="single"/>
        </w:rPr>
        <w:t>[Day of</w:t>
      </w:r>
      <w:r w:rsidR="0083222A" w:rsidRPr="000D508C">
        <w:rPr>
          <w:rFonts w:eastAsia="Arial"/>
          <w:color w:val="FF0000"/>
          <w:sz w:val="22"/>
          <w:szCs w:val="22"/>
          <w:u w:val="single"/>
        </w:rPr>
        <w:t xml:space="preserve"> </w:t>
      </w:r>
      <w:r w:rsidR="0083222A" w:rsidRPr="000D508C">
        <w:rPr>
          <w:rFonts w:eastAsia="Arial"/>
          <w:b/>
          <w:bCs/>
          <w:color w:val="FF0000"/>
          <w:sz w:val="22"/>
          <w:szCs w:val="22"/>
          <w:u w:val="single"/>
        </w:rPr>
        <w:t>Signatory Date</w:t>
      </w:r>
      <w:r w:rsidR="0083222A" w:rsidRPr="000D508C">
        <w:rPr>
          <w:rFonts w:eastAsia="Arial"/>
          <w:color w:val="FF0000"/>
          <w:sz w:val="22"/>
          <w:szCs w:val="22"/>
          <w:u w:val="single"/>
        </w:rPr>
        <w:t>]</w:t>
      </w:r>
      <w:r w:rsidR="0083222A" w:rsidRPr="000D508C">
        <w:rPr>
          <w:rFonts w:eastAsia="Arial"/>
          <w:sz w:val="22"/>
          <w:szCs w:val="22"/>
        </w:rPr>
        <w:t xml:space="preserve"> day of </w:t>
      </w:r>
      <w:r w:rsidR="0083222A" w:rsidRPr="000D508C">
        <w:rPr>
          <w:rFonts w:eastAsia="Arial"/>
          <w:color w:val="FF0000"/>
          <w:sz w:val="22"/>
          <w:szCs w:val="22"/>
          <w:u w:val="single"/>
        </w:rPr>
        <w:t>[</w:t>
      </w:r>
      <w:r w:rsidR="0083222A" w:rsidRPr="000D508C">
        <w:rPr>
          <w:rFonts w:eastAsia="Arial"/>
          <w:b/>
          <w:bCs/>
          <w:color w:val="FF0000"/>
          <w:sz w:val="22"/>
          <w:szCs w:val="22"/>
          <w:u w:val="single"/>
        </w:rPr>
        <w:t>Month of Signatory Date]</w:t>
      </w:r>
      <w:r w:rsidR="0083222A" w:rsidRPr="000D508C">
        <w:rPr>
          <w:rFonts w:eastAsia="Arial"/>
          <w:sz w:val="22"/>
          <w:szCs w:val="22"/>
        </w:rPr>
        <w:t xml:space="preserve">, </w:t>
      </w:r>
      <w:r w:rsidR="0083222A" w:rsidRPr="004F269D">
        <w:rPr>
          <w:rFonts w:eastAsia="Arial"/>
          <w:b/>
          <w:bCs/>
          <w:color w:val="FF0000"/>
          <w:sz w:val="22"/>
          <w:szCs w:val="22"/>
          <w:u w:val="single"/>
        </w:rPr>
        <w:t>[Signatory Year</w:t>
      </w:r>
      <w:r w:rsidR="0083222A" w:rsidRPr="000D508C">
        <w:rPr>
          <w:rFonts w:eastAsia="Arial"/>
          <w:b/>
          <w:bCs/>
          <w:color w:val="FF0000"/>
          <w:sz w:val="22"/>
          <w:szCs w:val="22"/>
        </w:rPr>
        <w:t>]</w:t>
      </w:r>
      <w:r w:rsidR="0083222A" w:rsidRPr="000D508C">
        <w:rPr>
          <w:rFonts w:eastAsia="Arial"/>
          <w:sz w:val="22"/>
          <w:szCs w:val="22"/>
        </w:rPr>
        <w:t>.</w:t>
      </w:r>
    </w:p>
    <w:p w:rsidR="00D96073" w:rsidRDefault="00D96073" w:rsidP="00D96073">
      <w:pPr>
        <w:pStyle w:val="Default"/>
        <w:rPr>
          <w:sz w:val="22"/>
          <w:szCs w:val="22"/>
        </w:rPr>
      </w:pPr>
    </w:p>
    <w:p w:rsidR="0083222A" w:rsidRPr="000D508C" w:rsidRDefault="0083222A" w:rsidP="0083222A">
      <w:pPr>
        <w:pStyle w:val="Default"/>
        <w:rPr>
          <w:rFonts w:eastAsia="Times New Roman"/>
          <w:spacing w:val="-2"/>
          <w:sz w:val="22"/>
          <w:szCs w:val="22"/>
        </w:rPr>
      </w:pPr>
    </w:p>
    <w:p w:rsidR="0083222A" w:rsidRPr="000D508C" w:rsidRDefault="0083222A" w:rsidP="0083222A">
      <w:pPr>
        <w:rPr>
          <w:rFonts w:ascii="Times New Roman" w:eastAsia="Arial" w:hAnsi="Times New Roman" w:cs="Times New Roman"/>
          <w:u w:val="single"/>
        </w:rPr>
      </w:pPr>
      <w:r w:rsidRPr="000D508C">
        <w:rPr>
          <w:rFonts w:ascii="Times New Roman" w:eastAsia="Arial" w:hAnsi="Times New Roman" w:cs="Times New Roman"/>
        </w:rPr>
        <w:t xml:space="preserve">By: </w:t>
      </w:r>
      <w:r w:rsidRPr="000D508C">
        <w:rPr>
          <w:rFonts w:ascii="Times New Roman" w:eastAsia="Arial" w:hAnsi="Times New Roman" w:cs="Times New Roman"/>
          <w:color w:val="FF0000"/>
          <w:u w:val="single"/>
        </w:rPr>
        <w:t>[</w:t>
      </w:r>
      <w:r w:rsidRPr="000D508C">
        <w:rPr>
          <w:rFonts w:ascii="Times New Roman" w:eastAsia="Arial" w:hAnsi="Times New Roman" w:cs="Times New Roman"/>
          <w:b/>
          <w:bCs/>
          <w:color w:val="FF0000"/>
          <w:u w:val="single"/>
        </w:rPr>
        <w:t>Principal Signee</w:t>
      </w:r>
      <w:r w:rsidRPr="000D508C">
        <w:rPr>
          <w:rFonts w:ascii="Times New Roman" w:eastAsia="Arial" w:hAnsi="Times New Roman" w:cs="Times New Roman"/>
          <w:color w:val="FF0000"/>
          <w:u w:val="single"/>
        </w:rPr>
        <w:t>]</w:t>
      </w:r>
    </w:p>
    <w:p w:rsidR="00622651" w:rsidRPr="000D508C" w:rsidRDefault="0083222A" w:rsidP="0083222A">
      <w:pPr>
        <w:rPr>
          <w:rFonts w:ascii="Times New Roman" w:eastAsia="Arial" w:hAnsi="Times New Roman" w:cs="Times New Roman"/>
        </w:rPr>
      </w:pPr>
      <w:r w:rsidRPr="000D508C">
        <w:rPr>
          <w:rFonts w:ascii="Times New Roman" w:hAnsi="Times New Roman" w:cs="Times New Roman"/>
        </w:rPr>
        <w:tab/>
      </w:r>
      <w:r w:rsidRPr="000D508C">
        <w:rPr>
          <w:rFonts w:ascii="Times New Roman" w:eastAsia="Arial" w:hAnsi="Times New Roman" w:cs="Times New Roman"/>
        </w:rPr>
        <w:t xml:space="preserve">Principal </w:t>
      </w:r>
    </w:p>
    <w:p w:rsidR="0083222A" w:rsidRPr="000D508C" w:rsidRDefault="0083222A" w:rsidP="0083222A">
      <w:pPr>
        <w:rPr>
          <w:rFonts w:ascii="Times New Roman" w:eastAsia="Arial" w:hAnsi="Times New Roman" w:cs="Times New Roman"/>
        </w:rPr>
      </w:pPr>
      <w:r w:rsidRPr="000D508C">
        <w:rPr>
          <w:rFonts w:ascii="Times New Roman" w:eastAsia="Arial" w:hAnsi="Times New Roman" w:cs="Times New Roman"/>
        </w:rPr>
        <w:t xml:space="preserve">By: </w:t>
      </w:r>
      <w:r w:rsidRPr="000D508C">
        <w:rPr>
          <w:rFonts w:ascii="Times New Roman" w:eastAsia="Arial" w:hAnsi="Times New Roman" w:cs="Times New Roman"/>
          <w:color w:val="FF0000"/>
          <w:u w:val="single"/>
        </w:rPr>
        <w:t>[</w:t>
      </w:r>
      <w:r w:rsidRPr="000D508C">
        <w:rPr>
          <w:rFonts w:ascii="Times New Roman" w:eastAsia="Arial" w:hAnsi="Times New Roman" w:cs="Times New Roman"/>
          <w:b/>
          <w:bCs/>
          <w:color w:val="FF0000"/>
          <w:u w:val="single"/>
        </w:rPr>
        <w:t>Surety Signee</w:t>
      </w:r>
      <w:r w:rsidRPr="000D508C">
        <w:rPr>
          <w:rFonts w:ascii="Times New Roman" w:eastAsia="Arial" w:hAnsi="Times New Roman" w:cs="Times New Roman"/>
          <w:color w:val="FF0000"/>
          <w:u w:val="single"/>
        </w:rPr>
        <w:t>]</w:t>
      </w:r>
    </w:p>
    <w:p w:rsidR="00C858BB" w:rsidRPr="00D96073" w:rsidRDefault="0083222A" w:rsidP="00F21AF0">
      <w:r w:rsidRPr="000D508C">
        <w:rPr>
          <w:rFonts w:ascii="Times New Roman" w:hAnsi="Times New Roman" w:cs="Times New Roman"/>
        </w:rPr>
        <w:tab/>
      </w:r>
      <w:r w:rsidRPr="000D508C">
        <w:rPr>
          <w:rFonts w:ascii="Times New Roman" w:eastAsia="Arial" w:hAnsi="Times New Roman" w:cs="Times New Roman"/>
        </w:rPr>
        <w:t>Surety</w:t>
      </w:r>
      <w:r w:rsidRPr="000D508C">
        <w:rPr>
          <w:rFonts w:ascii="Times New Roman" w:hAnsi="Times New Roman" w:cs="Times New Roman"/>
        </w:rPr>
        <w:tab/>
      </w:r>
      <w:bookmarkStart w:id="0" w:name="_GoBack"/>
      <w:bookmarkEnd w:id="0"/>
    </w:p>
    <w:sectPr w:rsidR="00C858BB" w:rsidRPr="00D9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7D"/>
    <w:rsid w:val="00045300"/>
    <w:rsid w:val="000F5965"/>
    <w:rsid w:val="003903CD"/>
    <w:rsid w:val="003A27D0"/>
    <w:rsid w:val="004F269D"/>
    <w:rsid w:val="00550A92"/>
    <w:rsid w:val="00622651"/>
    <w:rsid w:val="0083222A"/>
    <w:rsid w:val="009C1858"/>
    <w:rsid w:val="00A66B14"/>
    <w:rsid w:val="00C46AA3"/>
    <w:rsid w:val="00C94328"/>
    <w:rsid w:val="00CA0E7D"/>
    <w:rsid w:val="00D10A03"/>
    <w:rsid w:val="00D96073"/>
    <w:rsid w:val="00E04A5E"/>
    <w:rsid w:val="00F03B62"/>
    <w:rsid w:val="00F2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E7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10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03"/>
    <w:rPr>
      <w:rFonts w:ascii="Segoe UI" w:hAnsi="Segoe UI" w:cs="Segoe UI"/>
      <w:sz w:val="18"/>
      <w:szCs w:val="18"/>
    </w:rPr>
  </w:style>
  <w:style w:type="character" w:styleId="CommentReference">
    <w:name w:val="annotation reference"/>
    <w:basedOn w:val="DefaultParagraphFont"/>
    <w:uiPriority w:val="99"/>
    <w:semiHidden/>
    <w:unhideWhenUsed/>
    <w:rsid w:val="003A27D0"/>
    <w:rPr>
      <w:sz w:val="16"/>
      <w:szCs w:val="16"/>
    </w:rPr>
  </w:style>
  <w:style w:type="paragraph" w:styleId="CommentText">
    <w:name w:val="annotation text"/>
    <w:basedOn w:val="Normal"/>
    <w:link w:val="CommentTextChar"/>
    <w:uiPriority w:val="99"/>
    <w:semiHidden/>
    <w:unhideWhenUsed/>
    <w:rsid w:val="003A27D0"/>
    <w:pPr>
      <w:spacing w:line="240" w:lineRule="auto"/>
    </w:pPr>
    <w:rPr>
      <w:sz w:val="20"/>
      <w:szCs w:val="20"/>
    </w:rPr>
  </w:style>
  <w:style w:type="character" w:customStyle="1" w:styleId="CommentTextChar">
    <w:name w:val="Comment Text Char"/>
    <w:basedOn w:val="DefaultParagraphFont"/>
    <w:link w:val="CommentText"/>
    <w:uiPriority w:val="99"/>
    <w:semiHidden/>
    <w:rsid w:val="003A27D0"/>
    <w:rPr>
      <w:sz w:val="20"/>
      <w:szCs w:val="20"/>
    </w:rPr>
  </w:style>
  <w:style w:type="paragraph" w:styleId="CommentSubject">
    <w:name w:val="annotation subject"/>
    <w:basedOn w:val="CommentText"/>
    <w:next w:val="CommentText"/>
    <w:link w:val="CommentSubjectChar"/>
    <w:uiPriority w:val="99"/>
    <w:semiHidden/>
    <w:unhideWhenUsed/>
    <w:rsid w:val="003A27D0"/>
    <w:rPr>
      <w:b/>
      <w:bCs/>
    </w:rPr>
  </w:style>
  <w:style w:type="character" w:customStyle="1" w:styleId="CommentSubjectChar">
    <w:name w:val="Comment Subject Char"/>
    <w:basedOn w:val="CommentTextChar"/>
    <w:link w:val="CommentSubject"/>
    <w:uiPriority w:val="99"/>
    <w:semiHidden/>
    <w:rsid w:val="003A27D0"/>
    <w:rPr>
      <w:b/>
      <w:bCs/>
      <w:sz w:val="20"/>
      <w:szCs w:val="20"/>
    </w:rPr>
  </w:style>
  <w:style w:type="paragraph" w:styleId="Revision">
    <w:name w:val="Revision"/>
    <w:hidden/>
    <w:uiPriority w:val="99"/>
    <w:semiHidden/>
    <w:rsid w:val="008322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E7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10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03"/>
    <w:rPr>
      <w:rFonts w:ascii="Segoe UI" w:hAnsi="Segoe UI" w:cs="Segoe UI"/>
      <w:sz w:val="18"/>
      <w:szCs w:val="18"/>
    </w:rPr>
  </w:style>
  <w:style w:type="character" w:styleId="CommentReference">
    <w:name w:val="annotation reference"/>
    <w:basedOn w:val="DefaultParagraphFont"/>
    <w:uiPriority w:val="99"/>
    <w:semiHidden/>
    <w:unhideWhenUsed/>
    <w:rsid w:val="003A27D0"/>
    <w:rPr>
      <w:sz w:val="16"/>
      <w:szCs w:val="16"/>
    </w:rPr>
  </w:style>
  <w:style w:type="paragraph" w:styleId="CommentText">
    <w:name w:val="annotation text"/>
    <w:basedOn w:val="Normal"/>
    <w:link w:val="CommentTextChar"/>
    <w:uiPriority w:val="99"/>
    <w:semiHidden/>
    <w:unhideWhenUsed/>
    <w:rsid w:val="003A27D0"/>
    <w:pPr>
      <w:spacing w:line="240" w:lineRule="auto"/>
    </w:pPr>
    <w:rPr>
      <w:sz w:val="20"/>
      <w:szCs w:val="20"/>
    </w:rPr>
  </w:style>
  <w:style w:type="character" w:customStyle="1" w:styleId="CommentTextChar">
    <w:name w:val="Comment Text Char"/>
    <w:basedOn w:val="DefaultParagraphFont"/>
    <w:link w:val="CommentText"/>
    <w:uiPriority w:val="99"/>
    <w:semiHidden/>
    <w:rsid w:val="003A27D0"/>
    <w:rPr>
      <w:sz w:val="20"/>
      <w:szCs w:val="20"/>
    </w:rPr>
  </w:style>
  <w:style w:type="paragraph" w:styleId="CommentSubject">
    <w:name w:val="annotation subject"/>
    <w:basedOn w:val="CommentText"/>
    <w:next w:val="CommentText"/>
    <w:link w:val="CommentSubjectChar"/>
    <w:uiPriority w:val="99"/>
    <w:semiHidden/>
    <w:unhideWhenUsed/>
    <w:rsid w:val="003A27D0"/>
    <w:rPr>
      <w:b/>
      <w:bCs/>
    </w:rPr>
  </w:style>
  <w:style w:type="character" w:customStyle="1" w:styleId="CommentSubjectChar">
    <w:name w:val="Comment Subject Char"/>
    <w:basedOn w:val="CommentTextChar"/>
    <w:link w:val="CommentSubject"/>
    <w:uiPriority w:val="99"/>
    <w:semiHidden/>
    <w:rsid w:val="003A27D0"/>
    <w:rPr>
      <w:b/>
      <w:bCs/>
      <w:sz w:val="20"/>
      <w:szCs w:val="20"/>
    </w:rPr>
  </w:style>
  <w:style w:type="paragraph" w:styleId="Revision">
    <w:name w:val="Revision"/>
    <w:hidden/>
    <w:uiPriority w:val="99"/>
    <w:semiHidden/>
    <w:rsid w:val="00832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17AC-35DF-4123-9930-D8859393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Donnelly</dc:creator>
  <cp:lastModifiedBy>Lushene, Jeremy (DFI)</cp:lastModifiedBy>
  <cp:revision>2</cp:revision>
  <dcterms:created xsi:type="dcterms:W3CDTF">2018-05-07T20:13:00Z</dcterms:created>
  <dcterms:modified xsi:type="dcterms:W3CDTF">2018-05-07T20:13:00Z</dcterms:modified>
</cp:coreProperties>
</file>